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AC1" w:rsidRPr="00A32125" w:rsidRDefault="00EC6AC1">
      <w:pPr>
        <w:spacing w:line="240" w:lineRule="auto"/>
        <w:jc w:val="center"/>
        <w:rPr>
          <w:rFonts w:ascii="Times New Roman" w:hAnsi="Times New Roman"/>
          <w:b/>
          <w:bCs/>
          <w:sz w:val="24"/>
          <w:szCs w:val="24"/>
        </w:rPr>
      </w:pPr>
    </w:p>
    <w:p w:rsidR="00EC6AC1" w:rsidRPr="00A32125" w:rsidRDefault="00EC6AC1">
      <w:pPr>
        <w:spacing w:line="240" w:lineRule="auto"/>
        <w:jc w:val="center"/>
        <w:rPr>
          <w:rFonts w:ascii="Times New Roman" w:hAnsi="Times New Roman"/>
          <w:b/>
          <w:bCs/>
          <w:sz w:val="24"/>
          <w:szCs w:val="24"/>
        </w:rPr>
      </w:pPr>
    </w:p>
    <w:p w:rsidR="00EC6AC1" w:rsidRPr="00A32125" w:rsidRDefault="00EC6AC1">
      <w:pPr>
        <w:spacing w:line="240" w:lineRule="auto"/>
        <w:jc w:val="center"/>
        <w:rPr>
          <w:rFonts w:ascii="Times New Roman" w:hAnsi="Times New Roman"/>
          <w:b/>
          <w:bCs/>
          <w:sz w:val="24"/>
          <w:szCs w:val="24"/>
        </w:rPr>
      </w:pPr>
    </w:p>
    <w:p w:rsidR="00EC6AC1" w:rsidRPr="00A32125" w:rsidRDefault="00EC6AC1">
      <w:pPr>
        <w:spacing w:line="240" w:lineRule="auto"/>
        <w:jc w:val="center"/>
        <w:rPr>
          <w:rFonts w:ascii="Times New Roman" w:hAnsi="Times New Roman"/>
          <w:b/>
          <w:bCs/>
          <w:sz w:val="24"/>
          <w:szCs w:val="24"/>
        </w:rPr>
      </w:pPr>
    </w:p>
    <w:p w:rsidR="00EC6AC1" w:rsidRPr="00A32125" w:rsidRDefault="00923B76">
      <w:pPr>
        <w:spacing w:line="240" w:lineRule="auto"/>
        <w:jc w:val="center"/>
        <w:rPr>
          <w:rFonts w:ascii="Times New Roman" w:hAnsi="Times New Roman"/>
          <w:b/>
          <w:bCs/>
          <w:sz w:val="24"/>
          <w:szCs w:val="24"/>
        </w:rPr>
      </w:pPr>
      <w:r w:rsidRPr="00A32125">
        <w:rPr>
          <w:rFonts w:ascii="Times New Roman" w:hAnsi="Times New Roman"/>
          <w:b/>
          <w:bCs/>
          <w:sz w:val="24"/>
          <w:szCs w:val="24"/>
        </w:rPr>
        <w:t xml:space="preserve">Piperacillin-Tazobactum </w:t>
      </w:r>
    </w:p>
    <w:p w:rsidR="00EC6AC1" w:rsidRPr="00A32125" w:rsidRDefault="00923B76">
      <w:pPr>
        <w:spacing w:line="240" w:lineRule="auto"/>
        <w:jc w:val="center"/>
        <w:rPr>
          <w:rFonts w:ascii="Times New Roman" w:hAnsi="Times New Roman"/>
          <w:b/>
          <w:bCs/>
          <w:sz w:val="24"/>
          <w:szCs w:val="24"/>
        </w:rPr>
      </w:pPr>
      <w:r w:rsidRPr="00A32125">
        <w:rPr>
          <w:rFonts w:ascii="Times New Roman" w:hAnsi="Times New Roman"/>
          <w:b/>
          <w:bCs/>
          <w:sz w:val="24"/>
          <w:szCs w:val="24"/>
        </w:rPr>
        <w:t>Dose adjustment monograph</w:t>
      </w:r>
    </w:p>
    <w:p w:rsidR="00EC6AC1" w:rsidRPr="00A32125" w:rsidRDefault="00EC6AC1">
      <w:pPr>
        <w:spacing w:line="240" w:lineRule="auto"/>
        <w:jc w:val="center"/>
        <w:rPr>
          <w:rFonts w:ascii="Times New Roman" w:hAnsi="Times New Roman"/>
          <w:sz w:val="24"/>
          <w:szCs w:val="24"/>
        </w:rPr>
      </w:pPr>
    </w:p>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Name:</w:t>
      </w:r>
    </w:p>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Institution:</w:t>
      </w:r>
    </w:p>
    <w:p w:rsidR="00EC6AC1" w:rsidRPr="00A32125" w:rsidRDefault="00EC6AC1">
      <w:pPr>
        <w:spacing w:line="240" w:lineRule="auto"/>
        <w:rPr>
          <w:rFonts w:ascii="Times New Roman" w:hAnsi="Times New Roman"/>
          <w:b/>
          <w:bCs/>
          <w:sz w:val="24"/>
          <w:szCs w:val="24"/>
        </w:rPr>
      </w:pPr>
    </w:p>
    <w:p w:rsidR="00EC6AC1" w:rsidRPr="00A32125" w:rsidRDefault="00923B76">
      <w:pPr>
        <w:spacing w:line="240" w:lineRule="auto"/>
        <w:rPr>
          <w:rFonts w:ascii="Times New Roman" w:hAnsi="Times New Roman"/>
          <w:b/>
          <w:bCs/>
          <w:sz w:val="24"/>
          <w:szCs w:val="24"/>
        </w:rPr>
      </w:pPr>
      <w:r w:rsidRPr="00A32125">
        <w:rPr>
          <w:rFonts w:ascii="Times New Roman" w:hAnsi="Times New Roman"/>
          <w:b/>
          <w:bCs/>
          <w:sz w:val="24"/>
          <w:szCs w:val="24"/>
        </w:rPr>
        <w:br w:type="page"/>
      </w:r>
      <w:r w:rsidRPr="00A32125">
        <w:rPr>
          <w:rFonts w:ascii="Times New Roman" w:hAnsi="Times New Roman"/>
          <w:b/>
          <w:bCs/>
          <w:sz w:val="24"/>
          <w:szCs w:val="24"/>
        </w:rPr>
        <w:lastRenderedPageBreak/>
        <w:t>Background</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Piperacillin-Tazobactum is a drug that is used to treat a broad range of bacterial infections. Some of the bacterial infections treated using this drug are presumed infection in neutropenic patient with fever, bacterial pneumonia caused by Haemophilus influenzae, pneumonia caused by bacteria, nosocomial bacterial pneumonia, hospital-acquired pneumonia from Staphylococcus bacteria, and cystic fibrosis and infection from Pseud</w:t>
      </w:r>
      <w:r w:rsidR="00DB4AAC">
        <w:rPr>
          <w:rFonts w:ascii="Times New Roman" w:hAnsi="Times New Roman"/>
          <w:sz w:val="24"/>
          <w:szCs w:val="24"/>
        </w:rPr>
        <w:t xml:space="preserve">omonas bacteria among others </w:t>
      </w:r>
      <w:r w:rsidRPr="00A32125">
        <w:rPr>
          <w:rFonts w:ascii="Times New Roman" w:hAnsi="Times New Roman"/>
          <w:sz w:val="24"/>
          <w:szCs w:val="24"/>
        </w:rPr>
        <w:t xml:space="preserve">. The mechanism of action of this drug is inhibition of the synthesis of bacterial cell wall. Tazobactum is given with pileracillin to prevent bacteria from destroying the latter. </w:t>
      </w:r>
      <w:r w:rsidR="00DB4AAC">
        <w:rPr>
          <w:rFonts w:ascii="Times New Roman" w:hAnsi="Times New Roman"/>
          <w:sz w:val="24"/>
          <w:szCs w:val="24"/>
        </w:rPr>
        <w:t xml:space="preserve">In Australia,Tazobactam is used to prevent infection by killing bacteria[1]. </w:t>
      </w:r>
      <w:r w:rsidRPr="00A32125">
        <w:rPr>
          <w:rFonts w:ascii="Times New Roman" w:hAnsi="Times New Roman"/>
          <w:sz w:val="24"/>
          <w:szCs w:val="24"/>
        </w:rPr>
        <w:t>Therefore, tazobactum is used to increase the effectiveness of piperacillin. This medication is given through an injection into the veins. It is injected every 6 hours and slowly over a period of 30 minutes. The standard dosage of this drug is IV: 3-4g/dose q4 to 6hrs not to exceed 24g in 24hrs. Through IM: 2-3g/dose q6 to 12 hrs not to exceed 24g in 24 hrs.</w:t>
      </w:r>
    </w:p>
    <w:p w:rsidR="00EC6AC1" w:rsidRPr="00A32125" w:rsidRDefault="00923B76">
      <w:pPr>
        <w:spacing w:line="240" w:lineRule="auto"/>
        <w:rPr>
          <w:rFonts w:ascii="Times New Roman" w:hAnsi="Times New Roman"/>
          <w:b/>
          <w:bCs/>
          <w:sz w:val="24"/>
          <w:szCs w:val="24"/>
        </w:rPr>
      </w:pPr>
      <w:r w:rsidRPr="00A32125">
        <w:rPr>
          <w:rFonts w:ascii="Times New Roman" w:hAnsi="Times New Roman"/>
          <w:b/>
          <w:bCs/>
          <w:sz w:val="24"/>
          <w:szCs w:val="24"/>
        </w:rPr>
        <w:t>Obese Patients</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The dosage of Piperacillin-Tazobactum is varied from one patient to another depending on diagnosed complications. A patient with obesity has a higher volume distribution, which is the total amount of a drug in the body compared to the concentration of plasma. The physiochemical characteristics of a drug determine its rate of distribution from blood to tissue and across tissue membranes [2]. Because of an increase in adipose and lean muscle mass, volume distribution is high in obese patients. This implies that there will be an alteration of the standard dosage to 4.5g/dose q8hrs prolonged infusion for up to eight hours or 4.5g/dose q6hrs for 30-mins infusion. For the critically ill obese patients, prolonged infusion is required. Critically ill obese patients with a creatin clearance of more than 100ml/min will require a higher dose prolonged infusion. A higher dosage is required for obese patients because the total amount of drug that is absorbed in the blood is limited [2]. A decrease in the amount of administered drug is linked to the increased muscle mass and adipose tissue, which inhibit the movement of the drugs [3]. To address this issue, prolonged infusion is preferred to achieve an optimal patient outcome [4]. </w:t>
      </w:r>
    </w:p>
    <w:p w:rsidR="00EC6AC1" w:rsidRPr="00A32125" w:rsidRDefault="00923B76">
      <w:pPr>
        <w:spacing w:line="240" w:lineRule="auto"/>
        <w:rPr>
          <w:rFonts w:ascii="Times New Roman" w:hAnsi="Times New Roman"/>
          <w:b/>
          <w:bCs/>
          <w:sz w:val="24"/>
          <w:szCs w:val="24"/>
        </w:rPr>
      </w:pPr>
      <w:r w:rsidRPr="00A32125">
        <w:rPr>
          <w:rFonts w:ascii="Times New Roman" w:hAnsi="Times New Roman"/>
          <w:b/>
          <w:bCs/>
          <w:sz w:val="24"/>
          <w:szCs w:val="24"/>
        </w:rPr>
        <w:t xml:space="preserve">Augmented Renal Function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Augmented renal function is a condition that occurs when a critically ill patient shows increased clearance of medication through the kidneys [5]. This condition affects the amount of drugs administered to a patient. In the case of augmented renal function, there is a very high rate of creatin clearance, or more then 130mm/min. In a study conducted by [6], a higher dose of Piperacillin-Tazobactum should be administered to patients with augmented renal function. Studies show that people with a creatin clearance of over 100mm/min need to have a higher dosage than the standard measures. Increasing the dosage for a prolonged infusion.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An increase in creatin clearance leads to a decrease in the probability of achieving the standard regimen dosing. The medication for this patient should be adjusted to 16g per day continuously 160mg/mL for a 12 hour infusion. Adjusting this dosage will ensure that the rate of creatin clearance of balanced and the rate of drug clearance from the system decreased. With this adjusted treatment, the probability of achieving quality outcome will be 93% [7]. Extending the </w:t>
      </w:r>
      <w:r w:rsidRPr="00A32125">
        <w:rPr>
          <w:rFonts w:ascii="Times New Roman" w:hAnsi="Times New Roman"/>
          <w:sz w:val="24"/>
          <w:szCs w:val="24"/>
        </w:rPr>
        <w:lastRenderedPageBreak/>
        <w:t xml:space="preserve">infusion for up to 8 hours will ensure that the drugs that are not absorbed in the blood and cleared through the kidneys are accounted for. </w:t>
      </w:r>
    </w:p>
    <w:p w:rsidR="00EC6AC1" w:rsidRPr="00A32125" w:rsidRDefault="00923B76">
      <w:pPr>
        <w:spacing w:line="240" w:lineRule="auto"/>
        <w:rPr>
          <w:rFonts w:ascii="Times New Roman" w:hAnsi="Times New Roman"/>
          <w:b/>
          <w:bCs/>
          <w:sz w:val="24"/>
          <w:szCs w:val="24"/>
        </w:rPr>
      </w:pPr>
      <w:r w:rsidRPr="00A32125">
        <w:rPr>
          <w:rFonts w:ascii="Times New Roman" w:hAnsi="Times New Roman"/>
          <w:b/>
          <w:bCs/>
          <w:sz w:val="24"/>
          <w:szCs w:val="24"/>
        </w:rPr>
        <w:t xml:space="preserve">Elderly Patients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Administration of this drug to elderly people should also be adjusted to ensure that the outcome are optimal. Because of old age, patients are exposed to increased toxicity of drugs. In order patients, the administration of the drug varies depending on whether they have high levels of </w:t>
      </w:r>
      <w:r w:rsidR="00DB4AAC" w:rsidRPr="00A32125">
        <w:rPr>
          <w:rFonts w:ascii="Times New Roman" w:hAnsi="Times New Roman"/>
          <w:sz w:val="24"/>
          <w:szCs w:val="24"/>
        </w:rPr>
        <w:t>creating</w:t>
      </w:r>
      <w:r w:rsidRPr="00A32125">
        <w:rPr>
          <w:rFonts w:ascii="Times New Roman" w:hAnsi="Times New Roman"/>
          <w:sz w:val="24"/>
          <w:szCs w:val="24"/>
        </w:rPr>
        <w:t xml:space="preserve"> clearance and the changes in pharmacokinetics [8]. For older patients with normal renal function or </w:t>
      </w:r>
      <w:r w:rsidR="00DB4AAC" w:rsidRPr="00A32125">
        <w:rPr>
          <w:rFonts w:ascii="Times New Roman" w:hAnsi="Times New Roman"/>
          <w:sz w:val="24"/>
          <w:szCs w:val="24"/>
        </w:rPr>
        <w:t>creating</w:t>
      </w:r>
      <w:r w:rsidRPr="00A32125">
        <w:rPr>
          <w:rFonts w:ascii="Times New Roman" w:hAnsi="Times New Roman"/>
          <w:sz w:val="24"/>
          <w:szCs w:val="24"/>
        </w:rPr>
        <w:t xml:space="preserve"> clearance values above 40mm/min. In this case, the dosage should be maintained at 3-4g/dose q4 to 6hrs not to exceed 24g in 24hrs. This dosage, however, should not exceed 4.5g per dose for a period of 30-infusion.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However, in the case of increased nephrotoxicity in these patients can lead to a decrease in the dosage or complete discontinuation. Administration of Piperacillin-Tazobactum in elderly patients can have severe effects, which can cause toxicity [9]. It the case of toxicity, it is recommended that the dosage be reduced to 2-3g/dose q6 to 12 hrs not to exceed 24g in 24 hrs. Also, the severity of the drug can be increase by the presence of underlying conditions in elderly patients. Therefore, it is important to determine the state of elderly patients to know if there are underlying health issues [10, 11]. This knowledge is used to know the optimal dosage for a patient and promote quality patient outcomes. </w:t>
      </w:r>
    </w:p>
    <w:p w:rsidR="00EC6AC1" w:rsidRPr="00A32125" w:rsidRDefault="00923B76">
      <w:pPr>
        <w:spacing w:line="240" w:lineRule="auto"/>
        <w:rPr>
          <w:rFonts w:ascii="Times New Roman" w:hAnsi="Times New Roman"/>
          <w:sz w:val="24"/>
          <w:szCs w:val="24"/>
        </w:rPr>
      </w:pPr>
      <w:r w:rsidRPr="00A32125">
        <w:rPr>
          <w:rFonts w:ascii="Times New Roman" w:hAnsi="Times New Roman"/>
          <w:b/>
          <w:bCs/>
          <w:sz w:val="24"/>
          <w:szCs w:val="24"/>
        </w:rPr>
        <w:t>TDM</w:t>
      </w:r>
      <w:r w:rsidRPr="00A32125">
        <w:rPr>
          <w:rFonts w:ascii="Times New Roman" w:hAnsi="Times New Roman"/>
          <w:sz w:val="24"/>
          <w:szCs w:val="24"/>
        </w:rPr>
        <w:t xml:space="preserve">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Therapeutic drug monitoring (TDM) is a testing that is used in medicine to measure medication levels in blood [12]. TDM plays an essential role in determination of the effectiveness, safety, and efficiency of administered drugs. TDM can be used to ensure that the right adjustments are made and optimal patient outcomes realized [13]. For the case of obese patients, it is important to use TDM because it will ensure that the right level of medication is administered [14]. Based on the fact that a higher dose for a prolonged infusion is required, the probability of giving an overdose is high [15]. However, using TDM, providers can know the exact amount of drugs to give. Patients with augmented renal function should have a TDM to ensure that a all administer drugs are not cleared from the system before they function. For elderly patients using TDM is vital because it will ensure that they are not overdoses and, or exposed to nephrotoxicity. </w:t>
      </w:r>
    </w:p>
    <w:p w:rsidR="00EC6AC1" w:rsidRPr="00A32125" w:rsidRDefault="00923B76">
      <w:pPr>
        <w:spacing w:line="240" w:lineRule="auto"/>
        <w:rPr>
          <w:rFonts w:ascii="Times New Roman" w:hAnsi="Times New Roman"/>
          <w:sz w:val="24"/>
          <w:szCs w:val="24"/>
        </w:rPr>
      </w:pPr>
      <w:r w:rsidRPr="00A32125">
        <w:rPr>
          <w:rFonts w:ascii="Times New Roman" w:hAnsi="Times New Roman"/>
          <w:b/>
          <w:bCs/>
          <w:sz w:val="24"/>
          <w:szCs w:val="24"/>
        </w:rPr>
        <w:t>Conclusion</w:t>
      </w:r>
      <w:r w:rsidRPr="00A32125">
        <w:rPr>
          <w:rFonts w:ascii="Times New Roman" w:hAnsi="Times New Roman"/>
          <w:sz w:val="24"/>
          <w:szCs w:val="24"/>
        </w:rPr>
        <w:t xml:space="preserve"> </w:t>
      </w:r>
    </w:p>
    <w:tbl>
      <w:tblPr>
        <w:tblW w:w="0" w:type="auto"/>
        <w:tblLook w:val="04A0" w:firstRow="1" w:lastRow="0" w:firstColumn="1" w:lastColumn="0" w:noHBand="0" w:noVBand="1"/>
      </w:tblPr>
      <w:tblGrid>
        <w:gridCol w:w="1787"/>
        <w:gridCol w:w="2368"/>
        <w:gridCol w:w="2367"/>
        <w:gridCol w:w="3054"/>
      </w:tblGrid>
      <w:tr w:rsidR="00EC6AC1" w:rsidRPr="00A32125">
        <w:tc>
          <w:tcPr>
            <w:tcW w:w="1838" w:type="dxa"/>
            <w:tcBorders>
              <w:top w:val="single" w:sz="4" w:space="0" w:color="auto"/>
              <w:left w:val="single" w:sz="4" w:space="0" w:color="auto"/>
              <w:bottom w:val="single" w:sz="4" w:space="0" w:color="auto"/>
              <w:right w:val="single" w:sz="4" w:space="0" w:color="auto"/>
            </w:tcBorders>
          </w:tcPr>
          <w:p w:rsidR="00EC6AC1" w:rsidRPr="00A32125" w:rsidRDefault="00EC6AC1">
            <w:pPr>
              <w:spacing w:line="240" w:lineRule="auto"/>
              <w:rPr>
                <w:rFonts w:ascii="Times New Roman" w:hAnsi="Times New Roman"/>
                <w:sz w:val="24"/>
                <w:szCs w:val="24"/>
              </w:rPr>
            </w:pPr>
          </w:p>
        </w:tc>
        <w:tc>
          <w:tcPr>
            <w:tcW w:w="2457"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Dose adjustment</w:t>
            </w:r>
          </w:p>
        </w:tc>
        <w:tc>
          <w:tcPr>
            <w:tcW w:w="2456"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TDM needed</w:t>
            </w:r>
          </w:p>
        </w:tc>
        <w:tc>
          <w:tcPr>
            <w:tcW w:w="3209" w:type="dxa"/>
            <w:tcBorders>
              <w:top w:val="single" w:sz="4" w:space="0" w:color="auto"/>
              <w:left w:val="single" w:sz="4" w:space="0" w:color="auto"/>
              <w:bottom w:val="single" w:sz="4" w:space="0" w:color="auto"/>
              <w:right w:val="single" w:sz="4" w:space="0" w:color="auto"/>
            </w:tcBorders>
          </w:tcPr>
          <w:p w:rsidR="00EC6AC1" w:rsidRPr="00A32125" w:rsidRDefault="00EC6AC1">
            <w:pPr>
              <w:spacing w:line="240" w:lineRule="auto"/>
              <w:rPr>
                <w:rFonts w:ascii="Times New Roman" w:hAnsi="Times New Roman"/>
                <w:sz w:val="24"/>
                <w:szCs w:val="24"/>
              </w:rPr>
            </w:pPr>
          </w:p>
        </w:tc>
      </w:tr>
      <w:tr w:rsidR="00EC6AC1" w:rsidRPr="00A32125">
        <w:tc>
          <w:tcPr>
            <w:tcW w:w="1838" w:type="dxa"/>
            <w:tcBorders>
              <w:top w:val="single" w:sz="4" w:space="0" w:color="auto"/>
              <w:left w:val="single" w:sz="4" w:space="0" w:color="auto"/>
              <w:bottom w:val="single" w:sz="4" w:space="0" w:color="auto"/>
              <w:right w:val="single" w:sz="4" w:space="0" w:color="auto"/>
            </w:tcBorders>
          </w:tcPr>
          <w:p w:rsidR="00EC6AC1" w:rsidRPr="00A32125" w:rsidRDefault="00EC6AC1">
            <w:pPr>
              <w:spacing w:line="240" w:lineRule="auto"/>
              <w:rPr>
                <w:rFonts w:ascii="Times New Roman" w:hAnsi="Times New Roman"/>
                <w:sz w:val="24"/>
                <w:szCs w:val="24"/>
              </w:rPr>
            </w:pPr>
          </w:p>
        </w:tc>
        <w:tc>
          <w:tcPr>
            <w:tcW w:w="2457"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YES or NO or COMMENT</w:t>
            </w:r>
          </w:p>
        </w:tc>
        <w:tc>
          <w:tcPr>
            <w:tcW w:w="2456"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YES or NO or COMMENT</w:t>
            </w:r>
          </w:p>
        </w:tc>
        <w:tc>
          <w:tcPr>
            <w:tcW w:w="3209"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COMMENT</w:t>
            </w:r>
          </w:p>
        </w:tc>
      </w:tr>
      <w:tr w:rsidR="00EC6AC1" w:rsidRPr="00A32125">
        <w:tc>
          <w:tcPr>
            <w:tcW w:w="1838"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Obese patients</w:t>
            </w:r>
          </w:p>
        </w:tc>
        <w:tc>
          <w:tcPr>
            <w:tcW w:w="2457"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Yes</w:t>
            </w:r>
          </w:p>
        </w:tc>
        <w:tc>
          <w:tcPr>
            <w:tcW w:w="2456"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 xml:space="preserve">Yes </w:t>
            </w:r>
          </w:p>
        </w:tc>
        <w:tc>
          <w:tcPr>
            <w:tcW w:w="3209" w:type="dxa"/>
            <w:tcBorders>
              <w:top w:val="single" w:sz="4" w:space="0" w:color="auto"/>
              <w:left w:val="single" w:sz="4" w:space="0" w:color="auto"/>
              <w:bottom w:val="single" w:sz="4" w:space="0" w:color="auto"/>
              <w:right w:val="single" w:sz="4" w:space="0" w:color="auto"/>
            </w:tcBorders>
          </w:tcPr>
          <w:p w:rsidR="00EC6AC1" w:rsidRPr="00A32125" w:rsidRDefault="00DB4AAC" w:rsidP="00DB4AAC">
            <w:pPr>
              <w:spacing w:line="240" w:lineRule="auto"/>
              <w:rPr>
                <w:rFonts w:ascii="Times New Roman" w:hAnsi="Times New Roman"/>
                <w:sz w:val="24"/>
                <w:szCs w:val="24"/>
              </w:rPr>
            </w:pPr>
            <w:r>
              <w:rPr>
                <w:rFonts w:ascii="Times New Roman" w:hAnsi="Times New Roman"/>
                <w:sz w:val="24"/>
                <w:szCs w:val="24"/>
              </w:rPr>
              <w:t>Dose adjustments ensures the outcomes are optimal and TDM facilitates adjustments.</w:t>
            </w:r>
            <w:r w:rsidR="00923B76" w:rsidRPr="00A32125">
              <w:rPr>
                <w:rFonts w:ascii="Times New Roman" w:hAnsi="Times New Roman"/>
                <w:sz w:val="24"/>
                <w:szCs w:val="24"/>
              </w:rPr>
              <w:t xml:space="preserve"> </w:t>
            </w:r>
          </w:p>
        </w:tc>
      </w:tr>
      <w:tr w:rsidR="00EC6AC1" w:rsidRPr="00A32125">
        <w:tc>
          <w:tcPr>
            <w:tcW w:w="1838"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Patients with augmented </w:t>
            </w:r>
            <w:r w:rsidRPr="00A32125">
              <w:rPr>
                <w:rFonts w:ascii="Times New Roman" w:hAnsi="Times New Roman"/>
                <w:sz w:val="24"/>
                <w:szCs w:val="24"/>
              </w:rPr>
              <w:lastRenderedPageBreak/>
              <w:t>renal</w:t>
            </w:r>
          </w:p>
        </w:tc>
        <w:tc>
          <w:tcPr>
            <w:tcW w:w="2457"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lastRenderedPageBreak/>
              <w:t xml:space="preserve">Yes </w:t>
            </w:r>
          </w:p>
        </w:tc>
        <w:tc>
          <w:tcPr>
            <w:tcW w:w="2456"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 xml:space="preserve">Yes </w:t>
            </w:r>
          </w:p>
        </w:tc>
        <w:tc>
          <w:tcPr>
            <w:tcW w:w="3209" w:type="dxa"/>
            <w:tcBorders>
              <w:top w:val="single" w:sz="4" w:space="0" w:color="auto"/>
              <w:left w:val="single" w:sz="4" w:space="0" w:color="auto"/>
              <w:bottom w:val="single" w:sz="4" w:space="0" w:color="auto"/>
              <w:right w:val="single" w:sz="4" w:space="0" w:color="auto"/>
            </w:tcBorders>
          </w:tcPr>
          <w:p w:rsidR="00EC6AC1" w:rsidRPr="00A32125" w:rsidRDefault="00DB4AAC">
            <w:pPr>
              <w:spacing w:line="240" w:lineRule="auto"/>
              <w:rPr>
                <w:rFonts w:ascii="Times New Roman" w:hAnsi="Times New Roman"/>
                <w:sz w:val="24"/>
                <w:szCs w:val="24"/>
              </w:rPr>
            </w:pPr>
            <w:r>
              <w:rPr>
                <w:rFonts w:ascii="Times New Roman" w:hAnsi="Times New Roman"/>
                <w:sz w:val="24"/>
                <w:szCs w:val="24"/>
              </w:rPr>
              <w:t xml:space="preserve">Dose adjustments creates a balance in renal functioning </w:t>
            </w:r>
            <w:r>
              <w:rPr>
                <w:rFonts w:ascii="Times New Roman" w:hAnsi="Times New Roman"/>
                <w:sz w:val="24"/>
                <w:szCs w:val="24"/>
              </w:rPr>
              <w:lastRenderedPageBreak/>
              <w:t>and TDM ensures no overdoses that may cause toxicity.</w:t>
            </w:r>
            <w:bookmarkStart w:id="0" w:name="_GoBack"/>
            <w:bookmarkEnd w:id="0"/>
          </w:p>
        </w:tc>
      </w:tr>
    </w:tbl>
    <w:p w:rsidR="00EC6AC1" w:rsidRPr="00A32125" w:rsidRDefault="00EC6AC1">
      <w:pPr>
        <w:spacing w:line="240" w:lineRule="auto"/>
        <w:rPr>
          <w:rFonts w:ascii="Times New Roman" w:hAnsi="Times New Roman"/>
          <w:sz w:val="24"/>
          <w:szCs w:val="24"/>
        </w:rPr>
      </w:pPr>
    </w:p>
    <w:p w:rsidR="00EC6AC1" w:rsidRPr="00A32125" w:rsidRDefault="00EC6AC1">
      <w:pPr>
        <w:spacing w:line="240" w:lineRule="auto"/>
        <w:jc w:val="center"/>
        <w:rPr>
          <w:rFonts w:ascii="Times New Roman" w:hAnsi="Times New Roman"/>
          <w:sz w:val="24"/>
          <w:szCs w:val="24"/>
        </w:rPr>
      </w:pPr>
    </w:p>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br w:type="page"/>
      </w:r>
      <w:r w:rsidRPr="00A32125">
        <w:rPr>
          <w:rFonts w:ascii="Times New Roman" w:hAnsi="Times New Roman"/>
          <w:sz w:val="24"/>
          <w:szCs w:val="24"/>
        </w:rPr>
        <w:lastRenderedPageBreak/>
        <w:t>References</w:t>
      </w:r>
    </w:p>
    <w:p w:rsidR="00DB4AAC" w:rsidRDefault="00DB4AAC">
      <w:pPr>
        <w:spacing w:line="240" w:lineRule="auto"/>
        <w:rPr>
          <w:rFonts w:ascii="Times New Roman" w:hAnsi="Times New Roman"/>
          <w:sz w:val="24"/>
          <w:szCs w:val="24"/>
        </w:rPr>
      </w:pPr>
      <w:r>
        <w:rPr>
          <w:rFonts w:ascii="Times New Roman" w:hAnsi="Times New Roman"/>
          <w:sz w:val="24"/>
          <w:szCs w:val="24"/>
        </w:rPr>
        <w:t xml:space="preserve">1. </w:t>
      </w:r>
      <w:r w:rsidRPr="00DB4AAC">
        <w:rPr>
          <w:rFonts w:ascii="Times New Roman" w:hAnsi="Times New Roman"/>
          <w:sz w:val="24"/>
          <w:szCs w:val="24"/>
        </w:rPr>
        <w:t>Pfaller MA, Shortridge D, Sader HS, Flamm RK, Castanheira M. Ceftolozane–tazobactam activity against drug-resistant Enterobacteriaceae and Pseudomonas aeruginosa causing healthcare-associated infections in Australia and New Zealand: Report from an Antimicrobial Surveillance Program (2013–2015). Journal of global antimicrobial resistance. 2017 Sep 1;10:186-94.</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2. Meng, L., Mui, E., Holubar, M. K., &amp; Deresinki, S. C. Comprehensive Guidance for Antibiotic Dosing in Obese Adults. Pharmacotherapy: The Journal of Human Pharmacology and Drug Therapy. 2017. 37(11).  p. 1415-1431. https://doi.org/10.1002/phar.2023</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3. Veillette, J.J., Winans, S.A., Maskiewicz, V.K. et al. Pharmacokinetics and Pharmacodynamics of High-Dose Piperacillin–Tazobactam in Obese Patients. Eur J Drug Metab Pharmacokinet (2021). https://doi.org/10.1007/s13318-021-00677-1</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4. Cheatham SC, Fleming MR, Healy DP, Chung CE, Shea KM, and Humphrey ML et al. Steady-state pharmacokinetics and pharmacodynamics of piperacillin and tazobactam administered by prolonged infusion in obese patients. Int J Antimicrob Agents 2013;41:52-6.</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5. Chen, I. H., &amp; Nicolau, D. P. Augmented Renal Clearance and How to Augment Antibiotic Dosing. Multidisciplinary Digital Publishing Institute (MDPI). (2020). 9(7). 393.https://dx.doi.org/10.3390%2Fantibiotics9070393</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6. Carrié C, Legeron R, Petit L, Ollivier J, Cottenceau V, d'Houdain N, et al. Higher than standard dosing regimen are needed to achieve optimal antibiotic exposure in critically ill patients with augmented renal clearance receiving piperacillin-tazobactam administered by continuous infusion. J Crit Care. 2018 Dec;48:66-71. doi: 10.1016/j.jcrc.2018.08.026. Epub 2018 Aug 23. PMID: 30172963.</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7. Besnard, T., Carrié, C., Petit, L., and Biais, M. Increased dosing regimens of piperacillin-tazobactam are needed to avoid subtherapeutic exposure in critically ill patients with augmented renal clearance. Critical Care. (2019). 23. 10.1186/s13054-019-2308-x.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8. Karino F, Nishimura N, Ishihara N, Moriyama H, Miura K, Hamaguchi S, Sutani A, Kuraki T, Ikawa K, Morikawa N, Naora K. Nephrotoxicity induced by piperacillin-tazobactam in late elderly Japanese patients with nursing and healthcare associated pneumonia. Biological and Pharmaceutical Bulletin. 2014:b14-00362.</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9. Karino F, Miura K, Fuchita H, Koba N, Nishikawa E, Hotta T, et al. Efficacy and safety of piperacillin/tazobactam versus biapenem in late elderly patients with nursing- and healthcare-associated pneumonia. J Infect Chemother. 2013 Oct;19(5):909-15. doi: 10.1007/s10156-013-0605-x. Epub 2013 May 5. PMID: 23645226.</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10. Nagayama, H.; Ueda, M.; Kumagai, T.; Tsukamoto, K.; Nishiyama, Y.; Nishimura, S.; Hamamoto, M.; Katayama, Y. Influence of ageing on the pharmacokinetics of levodopa in elderly patients with Parkinson’s disease. Parkinsonism Relat. Disord. 2011, 17, 150–152.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lastRenderedPageBreak/>
        <w:t>11. Ishihara, N.; Nishimura, N.; Ikawa, K.; Karino, F.; Miura, K.; Tamaki, H.; Yano, T.; Isobe, T.; Morikawa, N.; Naora, K. Population Pharmacokinetic Modeling and Pharmacodynamic Target Attainment Simulation of Piperacillin/Tazobactam for Dosing Optimization in Late Elderly Patients with Pneumonia. Antibiotics 2020, 9, 113. https://doi.org/10.3390/antibiotics9030113</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12. Hiemke C, Bergemann N, Clement HW, Conca A, Deckert J, Domschke K, Eckermann G, Egberts K, Gerlach M, Greiner C, Gründer G. Consensus guidelines for therapeutic drug monitoring in neuropsychopharmacology: update 2017. Pharmacopsychiatry. 2018 Jan;51(01/02):9-62.</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13. Mclachlan, Andrew. (2016). Therapeutic Drug Monitoring in Older People. 10.1016/B978-0-12-802025-8.00009-X.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14. Ghiculescu R. Therapeutic drug monitoring: which drugs, why, when and how to do it. Aust Prescr 2008;31:42-4. https://doi.org/10.18773/austprescr.2008.025</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15. Montero, J., Rich, R. EFFECT OF STANDARD PIPERACILLIN/TAZOBACTAM DOSING IN OBESE VERSUS NON-OBESE SEPTIC PATIENTS, Critical Care Medicine: January 2019 - Volume 47 - Issue 1 - p 267 doi: 10.1097/01.ccm.0000551326.54709.e5</w:t>
      </w:r>
    </w:p>
    <w:p w:rsidR="00EC6AC1" w:rsidRPr="00A32125" w:rsidRDefault="00EC6AC1">
      <w:pPr>
        <w:spacing w:line="240" w:lineRule="auto"/>
        <w:rPr>
          <w:rFonts w:ascii="Times New Roman" w:hAnsi="Times New Roman"/>
          <w:sz w:val="24"/>
          <w:szCs w:val="24"/>
        </w:rPr>
      </w:pPr>
    </w:p>
    <w:sectPr w:rsidR="00EC6AC1" w:rsidRPr="00A3212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E77" w:rsidRDefault="00757E77">
      <w:pPr>
        <w:spacing w:after="0" w:line="240" w:lineRule="auto"/>
      </w:pPr>
      <w:r>
        <w:separator/>
      </w:r>
    </w:p>
  </w:endnote>
  <w:endnote w:type="continuationSeparator" w:id="0">
    <w:p w:rsidR="00757E77" w:rsidRDefault="0075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C1" w:rsidRDefault="00EC6AC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E77" w:rsidRDefault="00757E77">
      <w:pPr>
        <w:spacing w:after="0" w:line="240" w:lineRule="auto"/>
      </w:pPr>
      <w:r>
        <w:separator/>
      </w:r>
    </w:p>
  </w:footnote>
  <w:footnote w:type="continuationSeparator" w:id="0">
    <w:p w:rsidR="00757E77" w:rsidRDefault="00757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25" w:rsidRDefault="00A32125">
    <w:pPr>
      <w:pStyle w:val="Header"/>
      <w:jc w:val="right"/>
    </w:pPr>
    <w:r>
      <w:fldChar w:fldCharType="begin"/>
    </w:r>
    <w:r>
      <w:instrText xml:space="preserve"> PAGE   \* MERGEFORMAT </w:instrText>
    </w:r>
    <w:r>
      <w:fldChar w:fldCharType="separate"/>
    </w:r>
    <w:r w:rsidR="008B7A7A">
      <w:rPr>
        <w:noProof/>
      </w:rPr>
      <w:t>1</w:t>
    </w:r>
    <w:r>
      <w:rPr>
        <w:noProof/>
      </w:rPr>
      <w:fldChar w:fldCharType="end"/>
    </w:r>
  </w:p>
  <w:p w:rsidR="00EC6AC1" w:rsidRDefault="00EC6A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NDK1MDexNDQztzRR0lEKTi0uzszPAykwqgUA9Uk9rSwAAAA="/>
  </w:docVars>
  <w:rsids>
    <w:rsidRoot w:val="00EC6AC1"/>
    <w:rsid w:val="00757E77"/>
    <w:rsid w:val="008B7A7A"/>
    <w:rsid w:val="00923B76"/>
    <w:rsid w:val="00A32125"/>
    <w:rsid w:val="00DB4AAC"/>
    <w:rsid w:val="00EC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B59A053-3FAF-46F6-B369-B9A85A64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ind w:left="720"/>
    </w:pPr>
    <w:rPr>
      <w:sz w:val="21"/>
    </w:rPr>
  </w:style>
  <w:style w:type="paragraph" w:styleId="Header">
    <w:name w:val="header"/>
    <w:basedOn w:val="Normal"/>
    <w:link w:val="HeaderChar"/>
    <w:uiPriority w:val="99"/>
    <w:unhideWhenUsed/>
    <w:rsid w:val="00A32125"/>
    <w:pPr>
      <w:tabs>
        <w:tab w:val="center" w:pos="4513"/>
        <w:tab w:val="right" w:pos="9026"/>
      </w:tabs>
    </w:pPr>
  </w:style>
  <w:style w:type="character" w:customStyle="1" w:styleId="HeaderChar">
    <w:name w:val="Header Char"/>
    <w:link w:val="Header"/>
    <w:uiPriority w:val="99"/>
    <w:rsid w:val="00A32125"/>
    <w:rPr>
      <w:sz w:val="22"/>
      <w:szCs w:val="22"/>
    </w:rPr>
  </w:style>
  <w:style w:type="paragraph" w:styleId="Footer">
    <w:name w:val="footer"/>
    <w:basedOn w:val="Normal"/>
    <w:link w:val="FooterChar"/>
    <w:uiPriority w:val="99"/>
    <w:unhideWhenUsed/>
    <w:rsid w:val="00A32125"/>
    <w:pPr>
      <w:tabs>
        <w:tab w:val="center" w:pos="4513"/>
        <w:tab w:val="right" w:pos="9026"/>
      </w:tabs>
    </w:pPr>
  </w:style>
  <w:style w:type="character" w:customStyle="1" w:styleId="FooterChar">
    <w:name w:val="Footer Char"/>
    <w:link w:val="Footer"/>
    <w:uiPriority w:val="99"/>
    <w:rsid w:val="00A3212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user</cp:lastModifiedBy>
  <cp:revision>2</cp:revision>
  <dcterms:created xsi:type="dcterms:W3CDTF">2021-04-21T12:59:00Z</dcterms:created>
  <dcterms:modified xsi:type="dcterms:W3CDTF">2021-04-21T12:59:00Z</dcterms:modified>
</cp:coreProperties>
</file>